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28" w:rsidRDefault="00F85628" w:rsidP="00F8562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Szkolenie  „Terapia w wodzie dzieci i dorosłych z różnymi schorzeniami neurologicznymi i ortopedycznymi w oparciu o koncepcje stosowane na świecie”   </w:t>
      </w:r>
    </w:p>
    <w:p w:rsidR="00F85628" w:rsidRDefault="00F85628" w:rsidP="00F85628">
      <w:pPr>
        <w:jc w:val="both"/>
        <w:rPr>
          <w:b/>
          <w:bCs/>
          <w:sz w:val="24"/>
          <w:szCs w:val="24"/>
        </w:rPr>
      </w:pPr>
    </w:p>
    <w:p w:rsidR="00F85628" w:rsidRDefault="00F85628" w:rsidP="00F85628">
      <w:pPr>
        <w:jc w:val="both"/>
        <w:rPr>
          <w:sz w:val="24"/>
          <w:szCs w:val="24"/>
        </w:rPr>
      </w:pPr>
      <w:r>
        <w:rPr>
          <w:sz w:val="24"/>
          <w:szCs w:val="24"/>
        </w:rPr>
        <w:t>Serdecznie zapraszamy na kolejne szkolenie z zakresu rehabilitacji w  wodzie organizowane przez Centrum Rehabilitacyjno-Lecznicze MEDPHARMA.</w:t>
      </w:r>
    </w:p>
    <w:p w:rsidR="00F85628" w:rsidRDefault="00F85628" w:rsidP="00F85628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Data: 19 – 20.03.2016</w:t>
      </w:r>
      <w:r>
        <w:rPr>
          <w:sz w:val="24"/>
          <w:szCs w:val="24"/>
          <w:lang w:eastAsia="pl-PL"/>
        </w:rPr>
        <w:br/>
        <w:t>Miejsce: CRL MEDPHARMA, ul. Leśna 1A, Nowa Wieś Rzeczna, 83-200 Starogard Gdański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Cel szkolenia: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Celem szkolenia jest wyposażenie uczestników w wiedzę i umiejętności praktyczne z zakresu różnych metod terapeutycznych stosowanych podczas rehabilitacji w wodzie. To szkolenie daje szersze spojrzenie na możliwości pracy w środowisku wodnym. Szkolenie jest przeglądem różnych koncepcji i daje pogląd na to w jakim kierunku warto podążać jeżeli myśli się o pracy w wodzie. Jest też poszerzeniem warsztatu terapeutycznego stosowanego w środowisku lądowym. 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Organizatorzy szkolenia zrezygnowali obecnie z wykorzystywania nazwy PNF w Wodzie ze względu na to, iż przedstawiane treści wykraczają zdecydowanie poza techniki PNF. Stworzyli na tej bazie swój własny model rehabilitacji w wodzie, który od lat stosują i ciągle ulepszają. Szkolenie oparte jest tylko i wyłącznie na doświadczeniach praktycznych w wieloletniej pracy z pacjentami dorosłymi i dziećmi w zakresie różnych schorzeń.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Ramowy program szkolenia: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Zajęcia teoretyczne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• Właściwości wody – informacje dotyczące właściwości wody z dokładną analizą poszczególnych czynników (wypór, ciśnienie hydrostatyczne, opór wody, lepkość, temperatura).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• Przedstawienie metod stosowanych na świecie (</w:t>
      </w:r>
      <w:proofErr w:type="spellStart"/>
      <w:r>
        <w:rPr>
          <w:sz w:val="24"/>
          <w:szCs w:val="24"/>
          <w:lang w:eastAsia="pl-PL"/>
        </w:rPr>
        <w:t>Hallwick</w:t>
      </w:r>
      <w:proofErr w:type="spellEnd"/>
      <w:r>
        <w:rPr>
          <w:sz w:val="24"/>
          <w:szCs w:val="24"/>
          <w:lang w:eastAsia="pl-PL"/>
        </w:rPr>
        <w:t xml:space="preserve">, Bad </w:t>
      </w:r>
      <w:proofErr w:type="spellStart"/>
      <w:r>
        <w:rPr>
          <w:sz w:val="24"/>
          <w:szCs w:val="24"/>
          <w:lang w:eastAsia="pl-PL"/>
        </w:rPr>
        <w:t>Ragaz</w:t>
      </w:r>
      <w:proofErr w:type="spellEnd"/>
      <w:r>
        <w:rPr>
          <w:sz w:val="24"/>
          <w:szCs w:val="24"/>
          <w:lang w:eastAsia="pl-PL"/>
        </w:rPr>
        <w:t xml:space="preserve"> Ring Method, </w:t>
      </w:r>
      <w:proofErr w:type="spellStart"/>
      <w:r>
        <w:rPr>
          <w:sz w:val="24"/>
          <w:szCs w:val="24"/>
          <w:lang w:eastAsia="pl-PL"/>
        </w:rPr>
        <w:t>Watsu</w:t>
      </w:r>
      <w:proofErr w:type="spellEnd"/>
      <w:r>
        <w:rPr>
          <w:sz w:val="24"/>
          <w:szCs w:val="24"/>
          <w:lang w:eastAsia="pl-PL"/>
        </w:rPr>
        <w:t xml:space="preserve">) Dokładna charakterystyka metody Bad </w:t>
      </w:r>
      <w:proofErr w:type="spellStart"/>
      <w:r>
        <w:rPr>
          <w:sz w:val="24"/>
          <w:szCs w:val="24"/>
          <w:lang w:eastAsia="pl-PL"/>
        </w:rPr>
        <w:t>Ragaz</w:t>
      </w:r>
      <w:proofErr w:type="spellEnd"/>
      <w:r>
        <w:rPr>
          <w:sz w:val="24"/>
          <w:szCs w:val="24"/>
          <w:lang w:eastAsia="pl-PL"/>
        </w:rPr>
        <w:t xml:space="preserve"> Ring Method.*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• Wskazania i przeciwwskazania do stosowania terapii w wodzie. Zastosowanie terapii w wodzie u pacjentów ze schorzeniami neurologicznymi. Spastyczność i sztywność mięśniowa.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• Wpływ środowiska wodnego na pacjentów po udarze, urazie czaszkowo-mózgowym, zaburzeniach w obrębie móżdżku (video).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• Propozycje pracy w wodzie oraz na lądzie pacjentów z różnymi schorzeniami (video)</w:t>
      </w:r>
      <w:r>
        <w:rPr>
          <w:sz w:val="24"/>
          <w:szCs w:val="24"/>
          <w:lang w:eastAsia="pl-PL"/>
        </w:rPr>
        <w:br/>
        <w:t>Zajęcia praktyczne (na sali i na basenie).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• Praktyczne zastosowanie elementów Bad </w:t>
      </w:r>
      <w:proofErr w:type="spellStart"/>
      <w:r>
        <w:rPr>
          <w:b/>
          <w:bCs/>
          <w:sz w:val="24"/>
          <w:szCs w:val="24"/>
          <w:lang w:eastAsia="pl-PL"/>
        </w:rPr>
        <w:t>Ragaz</w:t>
      </w:r>
      <w:proofErr w:type="spellEnd"/>
      <w:r>
        <w:rPr>
          <w:b/>
          <w:bCs/>
          <w:sz w:val="24"/>
          <w:szCs w:val="24"/>
          <w:lang w:eastAsia="pl-PL"/>
        </w:rPr>
        <w:t xml:space="preserve"> Ring Method* 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• Założenia techniczne dotyczące basenów rehabilitacyjnych oraz informacje dotyczące sprzętu rehabilitacyjnego stosowanego w wodzie. Główne wytyczne dotyczące zachowania bezpieczeństwa z Pacjentem na basenie.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• Prezentacja metod transferu Pacjentów przy braku wsparcia innych osób.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• Różne chwyty terapeutyczne stosowane w wodzie zgodne również z Bad </w:t>
      </w:r>
      <w:proofErr w:type="spellStart"/>
      <w:r>
        <w:rPr>
          <w:sz w:val="24"/>
          <w:szCs w:val="24"/>
          <w:lang w:eastAsia="pl-PL"/>
        </w:rPr>
        <w:t>Ragaz</w:t>
      </w:r>
      <w:proofErr w:type="spellEnd"/>
      <w:r>
        <w:rPr>
          <w:sz w:val="24"/>
          <w:szCs w:val="24"/>
          <w:lang w:eastAsia="pl-PL"/>
        </w:rPr>
        <w:t xml:space="preserve"> Ring Method. 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• Praca pasywna i izometryczna w wodzie w pozycji horyzontalnej.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• Praca izotoniczna i izokinetyczna w wodzie zgodnie z zasadami Bad </w:t>
      </w:r>
      <w:proofErr w:type="spellStart"/>
      <w:r>
        <w:rPr>
          <w:sz w:val="24"/>
          <w:szCs w:val="24"/>
          <w:lang w:eastAsia="pl-PL"/>
        </w:rPr>
        <w:t>Ragaz</w:t>
      </w:r>
      <w:proofErr w:type="spellEnd"/>
      <w:r>
        <w:rPr>
          <w:sz w:val="24"/>
          <w:szCs w:val="24"/>
          <w:lang w:eastAsia="pl-PL"/>
        </w:rPr>
        <w:t xml:space="preserve"> Ring Method. (nie jest to szkolenie z zakresu tych metod).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* Organizatorzy informują, że po mimo pojawiania się nazw różnych koncepcji takich jak Bad </w:t>
      </w:r>
      <w:proofErr w:type="spellStart"/>
      <w:r>
        <w:rPr>
          <w:sz w:val="24"/>
          <w:szCs w:val="24"/>
          <w:lang w:eastAsia="pl-PL"/>
        </w:rPr>
        <w:t>Ragaz</w:t>
      </w:r>
      <w:proofErr w:type="spellEnd"/>
      <w:r>
        <w:rPr>
          <w:sz w:val="24"/>
          <w:szCs w:val="24"/>
          <w:lang w:eastAsia="pl-PL"/>
        </w:rPr>
        <w:t xml:space="preserve"> Ring Method (PNF), </w:t>
      </w:r>
      <w:proofErr w:type="spellStart"/>
      <w:r>
        <w:rPr>
          <w:sz w:val="24"/>
          <w:szCs w:val="24"/>
          <w:lang w:eastAsia="pl-PL"/>
        </w:rPr>
        <w:t>Halliwick</w:t>
      </w:r>
      <w:proofErr w:type="spellEnd"/>
      <w:r>
        <w:rPr>
          <w:sz w:val="24"/>
          <w:szCs w:val="24"/>
          <w:lang w:eastAsia="pl-PL"/>
        </w:rPr>
        <w:t xml:space="preserve"> czy </w:t>
      </w:r>
      <w:proofErr w:type="spellStart"/>
      <w:r>
        <w:rPr>
          <w:sz w:val="24"/>
          <w:szCs w:val="24"/>
          <w:lang w:eastAsia="pl-PL"/>
        </w:rPr>
        <w:t>Watsu</w:t>
      </w:r>
      <w:proofErr w:type="spellEnd"/>
      <w:r>
        <w:rPr>
          <w:sz w:val="24"/>
          <w:szCs w:val="24"/>
          <w:lang w:eastAsia="pl-PL"/>
        </w:rPr>
        <w:t xml:space="preserve"> prowadzone szkolenie nie daje uprawnień fizjoterapeucie do posługiwania się tymi nazwami jako szkoleń które ktoś ukończył.  Aby zdobyć fachową wiedzę i umiejętności tych metod  należy się zapisać na certyfikowane szkolenie w tych zakresach.   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Cena: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• Pojedyncze zgłoszenie: 999 zł brutto / osobę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• Zgłoszenie 4 osób i więcej 799 zł brutto / osobę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• W celu zarezerwowania miejsca obowiązuje zadatek 200 zł brutto *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* W przypadku rezygnacji z kursu później niż 10 dni przed rozpoczęciem nie zwracamy zadatku. Prosimy o powiadamianie o rezygnacji.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Cena obejmuje: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• szkolenie metodyczne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• materiały szkoleniowe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• certyfikat uczestnictwa (Certyfikat potwierdzany przez głównego wykładowcę oraz Europejskie Stowarzyszenie Młodych Fizjoterapeutów) Certyfikat opisuje umiejętności jakie uczestnik zdobył w kursie oraz liczbę godzin poświęconą na kurs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• przerwy kawowe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Prowadzący :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• mgr Paweł Adamkiewicz – Dyplomowany terapeuta PNF, </w:t>
      </w:r>
      <w:proofErr w:type="spellStart"/>
      <w:r>
        <w:rPr>
          <w:sz w:val="24"/>
          <w:szCs w:val="24"/>
          <w:lang w:eastAsia="pl-PL"/>
        </w:rPr>
        <w:t>Bobath</w:t>
      </w:r>
      <w:proofErr w:type="spellEnd"/>
      <w:r>
        <w:rPr>
          <w:sz w:val="24"/>
          <w:szCs w:val="24"/>
          <w:lang w:eastAsia="pl-PL"/>
        </w:rPr>
        <w:t xml:space="preserve">. Wieloletni wykładowca w Zakładzie Neurologii i Psychiatrii na WAF Kraków. </w:t>
      </w:r>
    </w:p>
    <w:p w:rsidR="00F85628" w:rsidRDefault="00F85628" w:rsidP="00F85628">
      <w:pPr>
        <w:spacing w:before="100" w:beforeAutospacing="1" w:after="100" w:afterAutospacing="1"/>
        <w:jc w:val="both"/>
        <w:rPr>
          <w:b/>
          <w:bCs/>
          <w:sz w:val="24"/>
          <w:szCs w:val="24"/>
          <w:lang w:eastAsia="pl-PL"/>
        </w:rPr>
      </w:pP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Dodatkowe informacje: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Każda osoba w trakcie szkolenia jest zobowiązana wejść do wody i posiadać umiejętność pływania.</w:t>
      </w:r>
      <w:r>
        <w:rPr>
          <w:sz w:val="24"/>
          <w:szCs w:val="24"/>
          <w:lang w:eastAsia="pl-PL"/>
        </w:rPr>
        <w:br/>
        <w:t>Uczestnicy szkolenia muszą mieć ze sobą strój na basen oraz ubranie sportowe do ćwiczenia na sali, buty do przebrania oraz ręcznik.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Organizator zastrzega sobie prawa do zmian w programie kursu.</w:t>
      </w:r>
    </w:p>
    <w:p w:rsidR="00F85628" w:rsidRDefault="00F85628" w:rsidP="00F85628">
      <w:pPr>
        <w:spacing w:before="100" w:beforeAutospacing="1" w:after="100" w:afterAutospacing="1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Zapisy i kontakt (odpowiadamy na sms):</w:t>
      </w:r>
    </w:p>
    <w:p w:rsidR="00F85628" w:rsidRDefault="00F85628" w:rsidP="00F8562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bookmarkStart w:id="0" w:name="_GoBack"/>
      <w:bookmarkEnd w:id="0"/>
      <w:r>
        <w:rPr>
          <w:sz w:val="24"/>
          <w:szCs w:val="24"/>
          <w:lang w:eastAsia="pl-PL"/>
        </w:rPr>
        <w:t>Tel. 607 696 471</w:t>
      </w:r>
    </w:p>
    <w:p w:rsidR="00F85628" w:rsidRDefault="00F85628" w:rsidP="00F85628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• Email: </w:t>
      </w:r>
      <w:hyperlink r:id="rId5" w:history="1">
        <w:r>
          <w:rPr>
            <w:rStyle w:val="Hipercze"/>
            <w:sz w:val="24"/>
            <w:szCs w:val="24"/>
            <w:lang w:eastAsia="pl-PL"/>
          </w:rPr>
          <w:t>szkolenia@medpharma.pl</w:t>
        </w:r>
      </w:hyperlink>
    </w:p>
    <w:p w:rsidR="00F85628" w:rsidRDefault="00F85628" w:rsidP="00F85628">
      <w:pPr>
        <w:pStyle w:val="NormalnyWeb"/>
        <w:spacing w:line="237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Email w sprawie kursu proszę zatytułować: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Style w:val="apple-style-span"/>
          <w:rFonts w:ascii="Calibri" w:hAnsi="Calibri"/>
          <w:b/>
          <w:bCs/>
          <w:color w:val="000000"/>
        </w:rPr>
        <w:t>SZKOLENIE W WODZIE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Style w:val="apple-style-span"/>
          <w:rFonts w:ascii="Calibri" w:hAnsi="Calibri"/>
          <w:b/>
          <w:bCs/>
          <w:color w:val="000000"/>
        </w:rPr>
        <w:t xml:space="preserve">(z elementami PNF) </w:t>
      </w:r>
      <w:r>
        <w:rPr>
          <w:rFonts w:ascii="Calibri" w:hAnsi="Calibri"/>
          <w:color w:val="000000"/>
        </w:rPr>
        <w:t>oraz podać:</w:t>
      </w:r>
    </w:p>
    <w:p w:rsidR="00F85628" w:rsidRDefault="00F85628" w:rsidP="00F85628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1.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Style w:val="apple-style-span"/>
          <w:color w:val="000000"/>
          <w:sz w:val="24"/>
          <w:szCs w:val="24"/>
        </w:rPr>
        <w:t>Imię i nazwisko</w:t>
      </w:r>
    </w:p>
    <w:p w:rsidR="00F85628" w:rsidRDefault="00F85628" w:rsidP="00F85628">
      <w:pPr>
        <w:jc w:val="both"/>
        <w:rPr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2.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Style w:val="apple-style-span"/>
          <w:color w:val="000000"/>
          <w:sz w:val="24"/>
          <w:szCs w:val="24"/>
        </w:rPr>
        <w:t>Telefon oraz email kontaktowy</w:t>
      </w:r>
    </w:p>
    <w:p w:rsidR="00F85628" w:rsidRDefault="00F85628" w:rsidP="00F85628">
      <w:pPr>
        <w:jc w:val="both"/>
        <w:rPr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3.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Style w:val="apple-style-span"/>
          <w:color w:val="000000"/>
          <w:sz w:val="24"/>
          <w:szCs w:val="24"/>
        </w:rPr>
        <w:t>Opcjonalnie dane do rachunku</w:t>
      </w:r>
    </w:p>
    <w:p w:rsidR="00F85628" w:rsidRDefault="00F85628" w:rsidP="00F85628">
      <w:pPr>
        <w:jc w:val="both"/>
        <w:rPr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4.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Style w:val="apple-style-span"/>
          <w:color w:val="000000"/>
          <w:sz w:val="24"/>
          <w:szCs w:val="24"/>
        </w:rPr>
        <w:t>Potwierdzenie wpłaty zadatku</w:t>
      </w:r>
    </w:p>
    <w:p w:rsidR="00F85628" w:rsidRDefault="00F85628" w:rsidP="00F85628">
      <w:pPr>
        <w:jc w:val="both"/>
        <w:rPr>
          <w:sz w:val="24"/>
          <w:szCs w:val="24"/>
        </w:rPr>
      </w:pPr>
    </w:p>
    <w:p w:rsidR="00F85628" w:rsidRDefault="00F85628" w:rsidP="00F85628">
      <w:pPr>
        <w:jc w:val="both"/>
        <w:rPr>
          <w:sz w:val="24"/>
          <w:szCs w:val="24"/>
        </w:rPr>
      </w:pPr>
      <w:r>
        <w:rPr>
          <w:sz w:val="24"/>
          <w:szCs w:val="24"/>
        </w:rPr>
        <w:t>Przykładowe opinie na temat szkolenia:</w:t>
      </w:r>
    </w:p>
    <w:p w:rsidR="00F85628" w:rsidRDefault="00F85628" w:rsidP="00F8562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„Nie wiedziałem, że woda może być tak pomocna w terapii”. Piotr K.</w:t>
      </w:r>
    </w:p>
    <w:p w:rsidR="00F85628" w:rsidRDefault="00F85628" w:rsidP="00F8562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„Pozytywnie jestem zaskoczony podejściem prowadzącego szkolenie. Wykładowca super!” Krzysztof B.</w:t>
      </w:r>
    </w:p>
    <w:p w:rsidR="00F85628" w:rsidRDefault="00F85628" w:rsidP="00F8562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„Moja ocena tego szklenia: 5+” Super!” Kasia M.  </w:t>
      </w:r>
    </w:p>
    <w:p w:rsidR="00F85628" w:rsidRDefault="00F85628" w:rsidP="00F85628">
      <w:pPr>
        <w:jc w:val="both"/>
        <w:rPr>
          <w:i/>
          <w:iCs/>
          <w:sz w:val="24"/>
          <w:szCs w:val="24"/>
        </w:rPr>
      </w:pPr>
    </w:p>
    <w:p w:rsidR="00F85628" w:rsidRDefault="00F85628" w:rsidP="00F85628"/>
    <w:p w:rsidR="00FD2431" w:rsidRPr="00745B95" w:rsidRDefault="00FD2431" w:rsidP="00745B95"/>
    <w:sectPr w:rsidR="00FD2431" w:rsidRPr="0074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70F0"/>
    <w:multiLevelType w:val="multilevel"/>
    <w:tmpl w:val="FCB2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43311"/>
    <w:multiLevelType w:val="multilevel"/>
    <w:tmpl w:val="AB5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13BC8"/>
    <w:multiLevelType w:val="multilevel"/>
    <w:tmpl w:val="6B9CD668"/>
    <w:lvl w:ilvl="0">
      <w:start w:val="1"/>
      <w:numFmt w:val="bullet"/>
      <w:lvlText w:val="•"/>
      <w:lvlJc w:val="left"/>
      <w:pPr>
        <w:ind w:left="0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3" w15:restartNumberingAfterBreak="0">
    <w:nsid w:val="358146A2"/>
    <w:multiLevelType w:val="multilevel"/>
    <w:tmpl w:val="01DE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48"/>
    <w:rsid w:val="00052826"/>
    <w:rsid w:val="001A2455"/>
    <w:rsid w:val="001F31DE"/>
    <w:rsid w:val="002A6E22"/>
    <w:rsid w:val="00343DC8"/>
    <w:rsid w:val="005229B0"/>
    <w:rsid w:val="006310B0"/>
    <w:rsid w:val="00706814"/>
    <w:rsid w:val="00745B95"/>
    <w:rsid w:val="007B0E60"/>
    <w:rsid w:val="007E71F7"/>
    <w:rsid w:val="00826AED"/>
    <w:rsid w:val="008421DB"/>
    <w:rsid w:val="00AC5822"/>
    <w:rsid w:val="00AF7F68"/>
    <w:rsid w:val="00BE1431"/>
    <w:rsid w:val="00BE1BDE"/>
    <w:rsid w:val="00CF39F4"/>
    <w:rsid w:val="00DC6F82"/>
    <w:rsid w:val="00EC6E48"/>
    <w:rsid w:val="00F73780"/>
    <w:rsid w:val="00F85628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568F5-2E54-45EE-8578-ED020D2F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24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681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F39F4"/>
  </w:style>
  <w:style w:type="paragraph" w:styleId="Tekstdymka">
    <w:name w:val="Balloon Text"/>
    <w:basedOn w:val="Normalny"/>
    <w:link w:val="TekstdymkaZnak"/>
    <w:uiPriority w:val="99"/>
    <w:semiHidden/>
    <w:unhideWhenUsed/>
    <w:rsid w:val="00BE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BDE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745B95"/>
  </w:style>
  <w:style w:type="character" w:customStyle="1" w:styleId="apple-converted-space">
    <w:name w:val="apple-converted-space"/>
    <w:basedOn w:val="Domylnaczcionkaakapitu"/>
    <w:rsid w:val="00F8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@medphar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Morawiec</dc:creator>
  <cp:keywords/>
  <dc:description/>
  <cp:lastModifiedBy>medpharma</cp:lastModifiedBy>
  <cp:revision>2</cp:revision>
  <cp:lastPrinted>2016-02-04T13:23:00Z</cp:lastPrinted>
  <dcterms:created xsi:type="dcterms:W3CDTF">2016-02-08T10:36:00Z</dcterms:created>
  <dcterms:modified xsi:type="dcterms:W3CDTF">2016-02-08T10:36:00Z</dcterms:modified>
</cp:coreProperties>
</file>